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B7EBC" w14:textId="46A24936" w:rsidR="00DB7498" w:rsidRPr="00DB7498" w:rsidRDefault="00DB7498">
      <w:pPr>
        <w:spacing w:after="0" w:line="480" w:lineRule="auto"/>
        <w:jc w:val="center"/>
        <w:rPr>
          <w:rFonts w:ascii="Times New Roman" w:eastAsia="Times New Roman" w:hAnsi="Times New Roman" w:cs="Times New Roman"/>
          <w:sz w:val="24"/>
          <w:szCs w:val="24"/>
          <w:highlight w:val="white"/>
        </w:rPr>
      </w:pPr>
      <w:r w:rsidRPr="00DB7498">
        <w:rPr>
          <w:rFonts w:ascii="Times New Roman" w:eastAsia="Times New Roman" w:hAnsi="Times New Roman" w:cs="Times New Roman"/>
          <w:sz w:val="24"/>
          <w:szCs w:val="24"/>
          <w:highlight w:val="white"/>
        </w:rPr>
        <w:t>Chapter 5</w:t>
      </w:r>
    </w:p>
    <w:p w14:paraId="00000001" w14:textId="0AF0355A" w:rsidR="00824A5E" w:rsidRPr="00DB7498" w:rsidRDefault="00C47074">
      <w:pPr>
        <w:spacing w:after="0" w:line="480" w:lineRule="auto"/>
        <w:jc w:val="center"/>
        <w:rPr>
          <w:rFonts w:ascii="Times New Roman" w:eastAsia="Times New Roman" w:hAnsi="Times New Roman" w:cs="Times New Roman"/>
          <w:sz w:val="24"/>
          <w:szCs w:val="24"/>
          <w:highlight w:val="white"/>
        </w:rPr>
      </w:pPr>
      <w:r w:rsidRPr="00DB7498">
        <w:rPr>
          <w:rFonts w:ascii="Times New Roman" w:eastAsia="Times New Roman" w:hAnsi="Times New Roman" w:cs="Times New Roman"/>
          <w:sz w:val="24"/>
          <w:szCs w:val="24"/>
          <w:highlight w:val="white"/>
        </w:rPr>
        <w:t>The Things That Knew Her: “Holding On” as a Way of “Letting Go”</w:t>
      </w:r>
    </w:p>
    <w:p w14:paraId="00000002" w14:textId="5ADF67FE" w:rsidR="00824A5E" w:rsidRPr="00DB7498" w:rsidRDefault="00C47074">
      <w:pPr>
        <w:spacing w:after="0" w:line="480" w:lineRule="auto"/>
        <w:jc w:val="center"/>
        <w:rPr>
          <w:rFonts w:ascii="Times New Roman" w:eastAsia="Times New Roman" w:hAnsi="Times New Roman" w:cs="Times New Roman"/>
          <w:sz w:val="24"/>
          <w:szCs w:val="24"/>
          <w:highlight w:val="white"/>
        </w:rPr>
      </w:pPr>
      <w:r w:rsidRPr="00DB7498">
        <w:rPr>
          <w:rFonts w:ascii="Times New Roman" w:eastAsia="Times New Roman" w:hAnsi="Times New Roman" w:cs="Times New Roman"/>
          <w:sz w:val="24"/>
          <w:szCs w:val="24"/>
          <w:highlight w:val="white"/>
        </w:rPr>
        <w:t>Deleasa Randall-Griffiths</w:t>
      </w:r>
    </w:p>
    <w:p w14:paraId="47A57123" w14:textId="77777777" w:rsidR="00DB7498" w:rsidRPr="00DB7498" w:rsidRDefault="00DB7498" w:rsidP="00DB7498">
      <w:pPr>
        <w:spacing w:after="0" w:line="480" w:lineRule="auto"/>
        <w:rPr>
          <w:rFonts w:ascii="Times New Roman" w:eastAsia="Times New Roman" w:hAnsi="Times New Roman" w:cs="Times New Roman"/>
          <w:sz w:val="24"/>
          <w:szCs w:val="24"/>
          <w:highlight w:val="white"/>
        </w:rPr>
      </w:pPr>
    </w:p>
    <w:p w14:paraId="00000003" w14:textId="30F21AD7" w:rsidR="00824A5E" w:rsidRPr="00DB7498" w:rsidRDefault="00C47074" w:rsidP="00DB7498">
      <w:pPr>
        <w:spacing w:after="0" w:line="480" w:lineRule="auto"/>
        <w:rPr>
          <w:rFonts w:ascii="Times New Roman" w:eastAsia="Times New Roman" w:hAnsi="Times New Roman" w:cs="Times New Roman"/>
          <w:sz w:val="24"/>
          <w:szCs w:val="24"/>
        </w:rPr>
      </w:pPr>
      <w:bookmarkStart w:id="0" w:name="_heading=h.gjdgxs" w:colFirst="0" w:colLast="0"/>
      <w:bookmarkEnd w:id="0"/>
      <w:r w:rsidRPr="00DB7498">
        <w:rPr>
          <w:rFonts w:ascii="Times New Roman" w:eastAsia="Times New Roman" w:hAnsi="Times New Roman" w:cs="Times New Roman"/>
          <w:sz w:val="24"/>
          <w:szCs w:val="24"/>
          <w:highlight w:val="white"/>
        </w:rPr>
        <w:t>Grief encompasses both highly personal and extremely universal human experiences at the same time (Hendricks, 2009). In this chapter, I weave together three generations of stories about loss. The stories tell of my mother’s, my grandmother’s, and my own personal experiences. At the same time, the universal ties found in all three of our stories align with the information researchers have discovered about the common experiences of grief and loss. In particular, this chapter focuses on the experiences surrounding our loved-ones’ possessions</w:t>
      </w:r>
      <w:r w:rsidRPr="00DB7498">
        <w:rPr>
          <w:rFonts w:ascii="Times New Roman" w:eastAsia="Times New Roman" w:hAnsi="Times New Roman" w:cs="Times New Roman"/>
          <w:b/>
          <w:sz w:val="24"/>
          <w:szCs w:val="24"/>
          <w:highlight w:val="white"/>
        </w:rPr>
        <w:t xml:space="preserve">. </w:t>
      </w:r>
      <w:r w:rsidRPr="00DB7498">
        <w:rPr>
          <w:rFonts w:ascii="Times New Roman" w:eastAsia="Times New Roman" w:hAnsi="Times New Roman" w:cs="Times New Roman"/>
          <w:sz w:val="24"/>
          <w:szCs w:val="24"/>
          <w:highlight w:val="white"/>
        </w:rPr>
        <w:t>Guillard (2017) says “t</w:t>
      </w:r>
      <w:r w:rsidRPr="00DB7498">
        <w:rPr>
          <w:rFonts w:ascii="Times New Roman" w:eastAsia="Times New Roman" w:hAnsi="Times New Roman" w:cs="Times New Roman"/>
          <w:sz w:val="24"/>
          <w:szCs w:val="24"/>
        </w:rPr>
        <w:t>he death of a loved one is the kind of event with a before and an after (p. 485). In this narrative I share a bit of both, but mostly I focus on the after.</w:t>
      </w:r>
    </w:p>
    <w:p w14:paraId="00000004" w14:textId="4AB33CDF" w:rsidR="00824A5E" w:rsidRPr="00DB7498" w:rsidRDefault="00C47074">
      <w:pPr>
        <w:spacing w:after="0" w:line="480" w:lineRule="auto"/>
        <w:ind w:firstLine="720"/>
        <w:rPr>
          <w:rFonts w:ascii="Times New Roman" w:eastAsia="Times New Roman" w:hAnsi="Times New Roman" w:cs="Times New Roman"/>
          <w:sz w:val="24"/>
          <w:szCs w:val="24"/>
          <w:highlight w:val="white"/>
        </w:rPr>
      </w:pPr>
      <w:r w:rsidRPr="00DB7498">
        <w:rPr>
          <w:rFonts w:ascii="Times New Roman" w:eastAsia="Times New Roman" w:hAnsi="Times New Roman" w:cs="Times New Roman"/>
          <w:sz w:val="24"/>
          <w:szCs w:val="24"/>
          <w:highlight w:val="white"/>
        </w:rPr>
        <w:t xml:space="preserve">When my mother passed away in May 2014, I took on the primary responsibility of managing the </w:t>
      </w:r>
      <w:proofErr w:type="gramStart"/>
      <w:r w:rsidRPr="00DB7498">
        <w:rPr>
          <w:rFonts w:ascii="Times New Roman" w:eastAsia="Times New Roman" w:hAnsi="Times New Roman" w:cs="Times New Roman"/>
          <w:sz w:val="24"/>
          <w:szCs w:val="24"/>
          <w:highlight w:val="white"/>
        </w:rPr>
        <w:t>after effects</w:t>
      </w:r>
      <w:proofErr w:type="gramEnd"/>
      <w:r w:rsidRPr="00DB7498">
        <w:rPr>
          <w:rFonts w:ascii="Times New Roman" w:eastAsia="Times New Roman" w:hAnsi="Times New Roman" w:cs="Times New Roman"/>
          <w:sz w:val="24"/>
          <w:szCs w:val="24"/>
          <w:highlight w:val="white"/>
        </w:rPr>
        <w:t xml:space="preserve"> of her death. My flexible summer schedule allowed me to stay with my father and help with all the paperwork and processes. I dealt with social security and life insurance issues. I closed credit card accounts and transferred magazine subscriptions. However, the tasks that stand out most in my memory involve dealing with her personal items like toiletries and clothing. The house was, and still is, filled with things that “knew her.” The deodorant stick knew the specific shape of her underarm. The shoes knew the contours of her arches. The lip balm had kissed her lips. The Chanel #5 body cream had become her scent. Some people might have viewed these half-used objects as obsolete, tossing them in the trash. But, I lovingly tended to these small and intimate items. I left many objects, both small and large, exactly where they had been in my parents’ home, which is now my father’s home. We did not remove home décor </w:t>
      </w:r>
      <w:r w:rsidRPr="00DB7498">
        <w:rPr>
          <w:rFonts w:ascii="Times New Roman" w:eastAsia="Times New Roman" w:hAnsi="Times New Roman" w:cs="Times New Roman"/>
          <w:sz w:val="24"/>
          <w:szCs w:val="24"/>
          <w:highlight w:val="white"/>
        </w:rPr>
        <w:lastRenderedPageBreak/>
        <w:t xml:space="preserve">and collectibles. They are gentle reminders of her presence. I gathered many of the items with great care. First, they were housed together in a ubiquitous plastic bin brought home from the hospital. Later, I scattered </w:t>
      </w:r>
      <w:sdt>
        <w:sdtPr>
          <w:tag w:val="goog_rdk_0"/>
          <w:id w:val="1071617889"/>
        </w:sdtPr>
        <w:sdtEndPr/>
        <w:sdtContent/>
      </w:sdt>
      <w:r w:rsidRPr="00DB7498">
        <w:rPr>
          <w:rFonts w:ascii="Times New Roman" w:eastAsia="Times New Roman" w:hAnsi="Times New Roman" w:cs="Times New Roman"/>
          <w:sz w:val="24"/>
          <w:szCs w:val="24"/>
          <w:highlight w:val="white"/>
        </w:rPr>
        <w:t>them throughout my home. I found solace in these items. They were the things that knew her. She had once held them,</w:t>
      </w:r>
      <w:r w:rsidRPr="00DB7498">
        <w:rPr>
          <w:rFonts w:ascii="Times New Roman" w:eastAsia="Times New Roman" w:hAnsi="Times New Roman" w:cs="Times New Roman"/>
          <w:sz w:val="24"/>
          <w:szCs w:val="24"/>
        </w:rPr>
        <w:t xml:space="preserve"> </w:t>
      </w:r>
      <w:r w:rsidRPr="00DB7498">
        <w:rPr>
          <w:rFonts w:ascii="Times New Roman" w:eastAsia="Times New Roman" w:hAnsi="Times New Roman" w:cs="Times New Roman"/>
          <w:sz w:val="24"/>
          <w:szCs w:val="24"/>
          <w:highlight w:val="white"/>
        </w:rPr>
        <w:t>worn them,</w:t>
      </w:r>
      <w:r w:rsidRPr="00DB7498">
        <w:rPr>
          <w:rFonts w:ascii="Times New Roman" w:eastAsia="Times New Roman" w:hAnsi="Times New Roman" w:cs="Times New Roman"/>
          <w:sz w:val="24"/>
          <w:szCs w:val="24"/>
        </w:rPr>
        <w:t xml:space="preserve"> and</w:t>
      </w:r>
      <w:r w:rsidRPr="00DB7498">
        <w:rPr>
          <w:rFonts w:ascii="Times New Roman" w:eastAsia="Times New Roman" w:hAnsi="Times New Roman" w:cs="Times New Roman"/>
          <w:sz w:val="24"/>
          <w:szCs w:val="24"/>
          <w:highlight w:val="white"/>
        </w:rPr>
        <w:t xml:space="preserve"> used them daily. They were hers; the last remnants of a life well lived. I could no longer touch her or hug her, but I could hold these sacred objects, breathing in the scent. I could no longer share a story with her or ask for advice, but I could surround myself with these things, her things, and remember all that we had shared. While these items could not replace what was lost of her, her wisdom, her laughter, her clear blue eyes, and optimistic smile, they somehow made me feel closer to her.</w:t>
      </w:r>
    </w:p>
    <w:p w14:paraId="00000005" w14:textId="77777777"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highlight w:val="white"/>
        </w:rPr>
        <w:t xml:space="preserve">I see my behaviors reflected in the literature on grief. Grief is viewed as an ongoing process in most scholarship. Dennis (2012) refers to it as a relational renegotiation which reconstitutes the relational bonds. In the context of dealing with the physical items, researchers </w:t>
      </w:r>
      <w:r w:rsidRPr="00DB7498">
        <w:rPr>
          <w:rFonts w:ascii="Times New Roman" w:eastAsia="Times New Roman" w:hAnsi="Times New Roman" w:cs="Times New Roman"/>
          <w:sz w:val="24"/>
          <w:szCs w:val="24"/>
        </w:rPr>
        <w:t xml:space="preserve">study the process of disposition </w:t>
      </w:r>
      <w:r w:rsidRPr="00DB7498">
        <w:rPr>
          <w:rFonts w:ascii="Times New Roman" w:eastAsia="Times New Roman" w:hAnsi="Times New Roman" w:cs="Times New Roman"/>
          <w:sz w:val="24"/>
          <w:szCs w:val="24"/>
          <w:highlight w:val="white"/>
        </w:rPr>
        <w:t xml:space="preserve">(Gentry et al, 1995; </w:t>
      </w:r>
      <w:r w:rsidRPr="00DB7498">
        <w:rPr>
          <w:rFonts w:ascii="Times New Roman" w:eastAsia="Times New Roman" w:hAnsi="Times New Roman" w:cs="Times New Roman"/>
          <w:sz w:val="24"/>
          <w:szCs w:val="24"/>
        </w:rPr>
        <w:t xml:space="preserve">Guillard, 2017; Roster 2001). </w:t>
      </w:r>
      <w:r w:rsidRPr="00DB7498">
        <w:rPr>
          <w:rFonts w:ascii="Times New Roman" w:eastAsia="Times New Roman" w:hAnsi="Times New Roman" w:cs="Times New Roman"/>
          <w:sz w:val="24"/>
          <w:szCs w:val="24"/>
          <w:highlight w:val="white"/>
        </w:rPr>
        <w:t>Guillard (2017) argues “</w:t>
      </w:r>
      <w:r w:rsidRPr="00DB7498">
        <w:rPr>
          <w:rFonts w:ascii="Times New Roman" w:eastAsia="Times New Roman" w:hAnsi="Times New Roman" w:cs="Times New Roman"/>
          <w:sz w:val="24"/>
          <w:szCs w:val="24"/>
        </w:rPr>
        <w:t xml:space="preserve">decisions with regard to the deceased’s mass of objects evolve in accordance with the development of the bereaved’s ‘different’ relationship to the deceased” (p. 478). Roster (2001) describes this as “a process of detaching from and ultimately severing the relationship between the possessor and a possession” (p. 425). She distinguishes between “disposition” and “dispossession.” After a loss, some possessions that are kept take on a “sanctification” (Gentry, et al, 1995) or a “sacralization through inheritance” (Belk, et al, 1989). This shift in ownership creates a dual notion of objects being both ‘theirs” and “mine” at the same time. (Guillard, 2017). Separating one’s self from the possessions of a loved one, becomes both a physical act (disposition) of release but, more importantly, it is a psychological act (dispossession) tied to releasing or renegotiating the relationship to the loved one in new and often deeper ways (Roster, </w:t>
      </w:r>
      <w:r w:rsidRPr="00DB7498">
        <w:rPr>
          <w:rFonts w:ascii="Times New Roman" w:eastAsia="Times New Roman" w:hAnsi="Times New Roman" w:cs="Times New Roman"/>
          <w:sz w:val="24"/>
          <w:szCs w:val="24"/>
        </w:rPr>
        <w:lastRenderedPageBreak/>
        <w:t>2001). For me, part of the psychological work involved decisions about what to keep and what to let go. This included the simplest of items, like a travel-sized bottle of hairspray labeled in my mom’s handwriting. It also included clothing, from jackets and shirts to underwear and socks. Each became more than merely stitched cloth, they became sacred relics of my mom’s life.</w:t>
      </w:r>
    </w:p>
    <w:p w14:paraId="00000006" w14:textId="49860A7B"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highlight w:val="white"/>
        </w:rPr>
        <w:t>My father’s approach was very different.</w:t>
      </w:r>
      <w:r w:rsidRPr="00DB7498">
        <w:rPr>
          <w:rFonts w:ascii="Times New Roman" w:eastAsia="Times New Roman" w:hAnsi="Times New Roman" w:cs="Times New Roman"/>
          <w:sz w:val="24"/>
          <w:szCs w:val="24"/>
        </w:rPr>
        <w:t xml:space="preserve"> </w:t>
      </w:r>
      <w:r w:rsidRPr="00DB7498">
        <w:rPr>
          <w:rFonts w:ascii="Times New Roman" w:eastAsia="Times New Roman" w:hAnsi="Times New Roman" w:cs="Times New Roman"/>
          <w:sz w:val="24"/>
          <w:szCs w:val="24"/>
          <w:highlight w:val="white"/>
        </w:rPr>
        <w:t xml:space="preserve">He asked us to remove some items immediately. </w:t>
      </w:r>
      <w:r w:rsidRPr="00DB7498">
        <w:rPr>
          <w:rFonts w:ascii="Times New Roman" w:eastAsia="Times New Roman" w:hAnsi="Times New Roman" w:cs="Times New Roman"/>
          <w:sz w:val="24"/>
          <w:szCs w:val="24"/>
        </w:rPr>
        <w:t>Researchers stress that each individual goes through the disposition process in very different and personalized ways</w:t>
      </w:r>
      <w:r w:rsidRPr="00DB7498">
        <w:rPr>
          <w:rFonts w:ascii="Times New Roman" w:eastAsia="Times New Roman" w:hAnsi="Times New Roman" w:cs="Times New Roman"/>
          <w:sz w:val="24"/>
          <w:szCs w:val="24"/>
          <w:highlight w:val="white"/>
        </w:rPr>
        <w:t>. The year before her death, my mother’s physical health was declining. My parents had replaced their queen-sized bed with a twin-sized bed for him and a hospital bed for her. My father wanted the hospital bed removed within a day or two of my mom’s passing. He also asked us to sort through her clothing, shoes, and other personal items within a week or two. This matches what I found in the literature. For some, an immediate relinquishing and distancing by packing away or removal of items provides a necessary detachment. Gentry, et al (1995) note that sometimes objects become taboo during grieving. Their removal becomes a key part of the grief process. Their presence is a constant reminder of the loss. Avoidance is easier than facing the pain.</w:t>
      </w:r>
    </w:p>
    <w:p w14:paraId="00000007" w14:textId="77777777" w:rsidR="00824A5E" w:rsidRPr="00DB7498" w:rsidRDefault="00C47074">
      <w:pPr>
        <w:spacing w:after="0" w:line="480" w:lineRule="auto"/>
        <w:ind w:firstLine="720"/>
        <w:rPr>
          <w:rFonts w:ascii="Times New Roman" w:eastAsia="Times New Roman" w:hAnsi="Times New Roman" w:cs="Times New Roman"/>
          <w:sz w:val="24"/>
          <w:szCs w:val="24"/>
          <w:highlight w:val="white"/>
        </w:rPr>
      </w:pPr>
      <w:r w:rsidRPr="00DB7498">
        <w:rPr>
          <w:rFonts w:ascii="Times New Roman" w:eastAsia="Times New Roman" w:hAnsi="Times New Roman" w:cs="Times New Roman"/>
          <w:sz w:val="24"/>
          <w:szCs w:val="24"/>
          <w:highlight w:val="white"/>
        </w:rPr>
        <w:t xml:space="preserve">My experience differed greatly from my </w:t>
      </w:r>
      <w:proofErr w:type="gramStart"/>
      <w:r w:rsidRPr="00DB7498">
        <w:rPr>
          <w:rFonts w:ascii="Times New Roman" w:eastAsia="Times New Roman" w:hAnsi="Times New Roman" w:cs="Times New Roman"/>
          <w:sz w:val="24"/>
          <w:szCs w:val="24"/>
          <w:highlight w:val="white"/>
        </w:rPr>
        <w:t>Dad’s</w:t>
      </w:r>
      <w:proofErr w:type="gramEnd"/>
      <w:r w:rsidRPr="00DB7498">
        <w:rPr>
          <w:rFonts w:ascii="Times New Roman" w:eastAsia="Times New Roman" w:hAnsi="Times New Roman" w:cs="Times New Roman"/>
          <w:sz w:val="24"/>
          <w:szCs w:val="24"/>
          <w:highlight w:val="white"/>
        </w:rPr>
        <w:t xml:space="preserve">. Gentry, et al (1995) note that for some people the loved-one’s possessions become more like shrines and charms. In my work to clear out closets and clean off shelves, I found myself keeping the smallest of items. I was gathering up the bits of her that she had left behind. Nail files, note pads, a tiny tin filled with paperclips and safety pins, these were the things she had touched and the things she had known. I still see them scattered throughout my house, on my dresser, in my bathroom cabinets, or at the bottom of my purse. Each time, a twinge of memory floods through me—a momentary pause honoring her life and the hole her absence left in my heart. For me, the act of holding on to possessions </w:t>
      </w:r>
      <w:r w:rsidRPr="00DB7498">
        <w:rPr>
          <w:rFonts w:ascii="Times New Roman" w:eastAsia="Times New Roman" w:hAnsi="Times New Roman" w:cs="Times New Roman"/>
          <w:sz w:val="24"/>
          <w:szCs w:val="24"/>
          <w:highlight w:val="white"/>
        </w:rPr>
        <w:lastRenderedPageBreak/>
        <w:t xml:space="preserve">was helpful in my grieving. I found myself in Roster’s (2001) words “special possessions are often harbored long past their period of immediate relevance in our lives for they enable us to relive important memories and feel connected to significant people and places from our past.” </w:t>
      </w:r>
      <w:r w:rsidRPr="00DB7498">
        <w:rPr>
          <w:rFonts w:ascii="Times New Roman" w:eastAsia="Times New Roman" w:hAnsi="Times New Roman" w:cs="Times New Roman"/>
          <w:sz w:val="24"/>
          <w:szCs w:val="24"/>
        </w:rPr>
        <w:t>(p 425). Each time I open her tiny tin filled with safety pins, I remember how she taught me, by example, the value of a well-stocked home--one that is prepared for any emergency.</w:t>
      </w:r>
    </w:p>
    <w:p w14:paraId="00000008" w14:textId="364CEF78" w:rsidR="00824A5E" w:rsidRPr="00DB7498" w:rsidRDefault="00C47074">
      <w:pPr>
        <w:spacing w:after="0" w:line="480" w:lineRule="auto"/>
        <w:ind w:firstLine="720"/>
        <w:rPr>
          <w:rFonts w:ascii="Times New Roman" w:eastAsia="Times New Roman" w:hAnsi="Times New Roman" w:cs="Times New Roman"/>
          <w:sz w:val="24"/>
          <w:szCs w:val="24"/>
          <w:highlight w:val="white"/>
        </w:rPr>
      </w:pPr>
      <w:r w:rsidRPr="00DB7498">
        <w:rPr>
          <w:rFonts w:ascii="Times New Roman" w:eastAsia="Times New Roman" w:hAnsi="Times New Roman" w:cs="Times New Roman"/>
          <w:sz w:val="24"/>
          <w:szCs w:val="24"/>
          <w:highlight w:val="white"/>
        </w:rPr>
        <w:t xml:space="preserve">As I studied the research on disposition (Gentry, et al, 1995; </w:t>
      </w:r>
      <w:r w:rsidRPr="00DB7498">
        <w:rPr>
          <w:rFonts w:ascii="Times New Roman" w:eastAsia="Times New Roman" w:hAnsi="Times New Roman" w:cs="Times New Roman"/>
          <w:sz w:val="24"/>
          <w:szCs w:val="24"/>
        </w:rPr>
        <w:t>Guillard, 2017), and particularly Roster’s (2001) addition of a more psychological process of “dispossession,”</w:t>
      </w:r>
      <w:r w:rsidRPr="00DB7498">
        <w:rPr>
          <w:rFonts w:ascii="Times New Roman" w:eastAsia="Times New Roman" w:hAnsi="Times New Roman" w:cs="Times New Roman"/>
          <w:sz w:val="24"/>
          <w:szCs w:val="24"/>
          <w:highlight w:val="white"/>
        </w:rPr>
        <w:t xml:space="preserve"> I thought about my grandmother and her son George William.</w:t>
      </w:r>
      <w:r w:rsidRPr="00DB7498">
        <w:rPr>
          <w:rFonts w:ascii="Times New Roman" w:eastAsia="Times New Roman" w:hAnsi="Times New Roman" w:cs="Times New Roman"/>
          <w:sz w:val="24"/>
          <w:szCs w:val="24"/>
        </w:rPr>
        <w:t xml:space="preserve"> She was a farm wife and mother living in the rural Indiana in the midst of The Great Depression. </w:t>
      </w:r>
      <w:r w:rsidRPr="00DB7498">
        <w:rPr>
          <w:rFonts w:ascii="Times New Roman" w:eastAsia="Times New Roman" w:hAnsi="Times New Roman" w:cs="Times New Roman"/>
          <w:sz w:val="24"/>
          <w:szCs w:val="24"/>
          <w:highlight w:val="white"/>
        </w:rPr>
        <w:t>He was her first born, her only son, gone before his 9</w:t>
      </w:r>
      <w:r w:rsidRPr="00DB7498">
        <w:rPr>
          <w:rFonts w:ascii="Times New Roman" w:eastAsia="Times New Roman" w:hAnsi="Times New Roman" w:cs="Times New Roman"/>
          <w:sz w:val="24"/>
          <w:szCs w:val="24"/>
          <w:highlight w:val="white"/>
          <w:vertAlign w:val="superscript"/>
        </w:rPr>
        <w:t>th</w:t>
      </w:r>
      <w:r w:rsidRPr="00DB7498">
        <w:rPr>
          <w:rFonts w:ascii="Times New Roman" w:eastAsia="Times New Roman" w:hAnsi="Times New Roman" w:cs="Times New Roman"/>
          <w:sz w:val="24"/>
          <w:szCs w:val="24"/>
          <w:highlight w:val="white"/>
        </w:rPr>
        <w:t xml:space="preserve"> birthday, passing away in the summer of 1937. Based on the stories my grandmother told me, coupled with a few details from the obituary and my mother, here is what I know about the events. George William was playing on the farm and got a splinter in his thumb.  He contracted tetanus, which turned into lock jaw, and died two weeks later in Methodist Hospital in Indianapolis. I knew the situation must have been serious for them to go to this big city hospital, almost an hour from home, as opposed to their local hospital. I have also read descriptions of the effects of lock jaw, the paralysis, the inability to eat or drink, the excruciating decline. When I originally told the story, I said that this was before the invention of the tetanus shot. In my mind that detail helped to make sense of this tragic story. Years later, my mother corrected me on this point. Tetanus shots did exist in 1937. My grandmother had taken her son to the local doctor. The doctor did not think a tetanus shot was necessary. Of course, no one will ever know for sure if the shot would have prevented George William’s death. But it might have.  This extra layer of the story makes it even sadder to me. I cannot fathom what this little detail </w:t>
      </w:r>
      <w:r w:rsidRPr="00DB7498">
        <w:rPr>
          <w:rFonts w:ascii="Times New Roman" w:eastAsia="Times New Roman" w:hAnsi="Times New Roman" w:cs="Times New Roman"/>
          <w:sz w:val="24"/>
          <w:szCs w:val="24"/>
          <w:highlight w:val="white"/>
        </w:rPr>
        <w:lastRenderedPageBreak/>
        <w:t xml:space="preserve">meant to my grandmother who trusted her </w:t>
      </w:r>
      <w:proofErr w:type="gramStart"/>
      <w:r w:rsidRPr="00DB7498">
        <w:rPr>
          <w:rFonts w:ascii="Times New Roman" w:eastAsia="Times New Roman" w:hAnsi="Times New Roman" w:cs="Times New Roman"/>
          <w:sz w:val="24"/>
          <w:szCs w:val="24"/>
          <w:highlight w:val="white"/>
        </w:rPr>
        <w:t>doctor, yet</w:t>
      </w:r>
      <w:proofErr w:type="gramEnd"/>
      <w:r w:rsidRPr="00DB7498">
        <w:rPr>
          <w:rFonts w:ascii="Times New Roman" w:eastAsia="Times New Roman" w:hAnsi="Times New Roman" w:cs="Times New Roman"/>
          <w:sz w:val="24"/>
          <w:szCs w:val="24"/>
          <w:highlight w:val="white"/>
        </w:rPr>
        <w:t xml:space="preserve"> sat by helplessly watching her small child’s two-week journey to death.</w:t>
      </w:r>
    </w:p>
    <w:p w14:paraId="00000009" w14:textId="77777777" w:rsidR="00824A5E" w:rsidRPr="00DB7498" w:rsidRDefault="00C47074">
      <w:pPr>
        <w:spacing w:after="0" w:line="480" w:lineRule="auto"/>
        <w:ind w:firstLine="720"/>
        <w:rPr>
          <w:rFonts w:ascii="Times New Roman" w:eastAsia="Times New Roman" w:hAnsi="Times New Roman" w:cs="Times New Roman"/>
          <w:sz w:val="24"/>
          <w:szCs w:val="24"/>
          <w:highlight w:val="white"/>
        </w:rPr>
      </w:pPr>
      <w:r w:rsidRPr="00DB7498">
        <w:rPr>
          <w:rFonts w:ascii="Times New Roman" w:eastAsia="Times New Roman" w:hAnsi="Times New Roman" w:cs="Times New Roman"/>
          <w:sz w:val="24"/>
          <w:szCs w:val="24"/>
          <w:highlight w:val="white"/>
        </w:rPr>
        <w:t xml:space="preserve">My grandmother kept various items tied to George William’s death in an old shirt box. When I was a child it was housed inconspicuously on a metal shelf in her garage. I sometimes asked to see that box. I was fascinated by the idea of an uncle I would never get to know, by the cousins who might have been. My grandmother would carefully remove the items and tell me the stories they held. She kept so many things in that box. They were the things that knew him. She kept his pocket watch, his report cards, and a small knife with the image of the famous cowboy, Tom Nix. She kept a lock of his hair and his tiny bow tie. She kept the valentines sent by schoolmates, the ribbons off funeral flowers, the hospital bills, and his obituary. She even kept the sliver of wood that had lodged in his thumb, leading to tetanus, then lock jaw, and eventually to his death. </w:t>
      </w:r>
    </w:p>
    <w:p w14:paraId="0000000A" w14:textId="408B9FD1"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highlight w:val="white"/>
        </w:rPr>
        <w:t xml:space="preserve">Death touches each of us differently. I am now fascinated by how differently people deal with the aftermath of loss, how I dealt with the physical objects during my time of grief, and how that impacts what Guillard </w:t>
      </w:r>
      <w:r w:rsidRPr="00DB7498">
        <w:rPr>
          <w:rFonts w:ascii="Times New Roman" w:eastAsia="Times New Roman" w:hAnsi="Times New Roman" w:cs="Times New Roman"/>
          <w:sz w:val="24"/>
          <w:szCs w:val="24"/>
        </w:rPr>
        <w:t>(2017)</w:t>
      </w:r>
      <w:r w:rsidRPr="00DB7498">
        <w:rPr>
          <w:rFonts w:ascii="Times New Roman" w:eastAsia="Times New Roman" w:hAnsi="Times New Roman" w:cs="Times New Roman"/>
          <w:sz w:val="24"/>
          <w:szCs w:val="24"/>
          <w:highlight w:val="white"/>
        </w:rPr>
        <w:t xml:space="preserve"> refers to as the “grief work” that </w:t>
      </w:r>
      <w:r w:rsidRPr="00DB7498">
        <w:rPr>
          <w:rFonts w:ascii="Times New Roman" w:eastAsia="Times New Roman" w:hAnsi="Times New Roman" w:cs="Times New Roman"/>
          <w:sz w:val="24"/>
          <w:szCs w:val="24"/>
        </w:rPr>
        <w:t xml:space="preserve">transforms the link between the living and the dead and renegotiates a coherent relational story. The connection between story and death is not new to me. For decades I have talked with students about the power of family narratives to reconstitute those who have passed and keep their memory alive. I have written about George William and my grandmother’s ability to keep his memory alive through that box full of objects and their stories. But, until I observed my own need to hold on to the simplest of my mom’s things, long past any practical use or purpose, I had not fully connected the grief process to my grandmother’s box. Her need to save those items, things that would have seemed like a box full of trash to anyone unaware of the story behind them, originally stemmed </w:t>
      </w:r>
      <w:r w:rsidRPr="00DB7498">
        <w:rPr>
          <w:rFonts w:ascii="Times New Roman" w:eastAsia="Times New Roman" w:hAnsi="Times New Roman" w:cs="Times New Roman"/>
          <w:sz w:val="24"/>
          <w:szCs w:val="24"/>
        </w:rPr>
        <w:lastRenderedPageBreak/>
        <w:t>from that need to feel connected to her lost child. Guillard (2017) notes four stages of the disposition process. Although not always experienced in a linear pattern, her research indicates a process that includes numbness, yearning, personal disorganization, and reorganization and reconstruction.</w:t>
      </w:r>
    </w:p>
    <w:p w14:paraId="0000000B" w14:textId="40B33673"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I imagine my grandmother deluged by her grief. I cannot fully comprehend the numbness she must have felt; the shock, the sadness, and the utter devastation. I catch a glimpse of her yearning, a stage “characterized by dejection, melancholy, and sadness” (Guillard, 2017, p. 486), in each carefully placed item in this box. I picture her ironing each ribbon she had removed from withering funeral flowers. I see her gently caressing the thick lock of blond hair, held tight by a rubber band. I wonder about her moments of personal disorganization—the challenge of continuing to care for her 6-year-old daughter, my mother, while attempting to process this life-altering loss. She used to tell me that George William spoke with the angels as a child. His memory had taken on a mythic quality over the years. He would forever be her golden-haired little boy.</w:t>
      </w:r>
    </w:p>
    <w:p w14:paraId="0000000C" w14:textId="77777777"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As my grandmother shared her stories with me, 40 some years later, she was no longer in the depths of her grief. She had reached a level of reconstruction, where her stories could reconstitute George William as a continuing part of the family narrative. But, looking at the contents of that box, I now identify with the pain she must have felt as she folded each soft ribbon from funeral bouquets and carefully tucked away the tiny possessions that captured bits of George Williams’s short life. They were the things that knew him. Holding on to them was a part of her process of letting him go.</w:t>
      </w:r>
    </w:p>
    <w:p w14:paraId="0000000D" w14:textId="77777777"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 xml:space="preserve">In the literature on both grief and disposition a distinction is made between the sacred and the profane (Belk, et al, 1989). This stood out with regard to both the items of my mom’s that I </w:t>
      </w:r>
      <w:r w:rsidRPr="00DB7498">
        <w:rPr>
          <w:rFonts w:ascii="Times New Roman" w:eastAsia="Times New Roman" w:hAnsi="Times New Roman" w:cs="Times New Roman"/>
          <w:sz w:val="24"/>
          <w:szCs w:val="24"/>
        </w:rPr>
        <w:lastRenderedPageBreak/>
        <w:t>saved and the items my grandmother saved. Researchers discuss the sanctification or sacralization process during grief (Belk, 1988; Belk et al, 1989; Gentry et al, 1995). What was once ordinary can become extraordinary and hold greater significance. Some objects serve as anchors, connecting the living and the dead. Items take on the role of charms and some spaces become shrines. My decisions to keep some of my mom’s items shifted their status from the profane to the sacred. One of Guillard’s (2017) interview subjects gave the following description of the liminal state between “mine” and “theirs.” Francoise states, “books, they are in the library but…they’re still hers. I don’t know whether they’ll ever be mine…” (p. 489). My mother’s possessions, scattered around my house, are now both “mine and “hers.” Their presence continues to bring her memory to life.</w:t>
      </w:r>
    </w:p>
    <w:p w14:paraId="0000000E" w14:textId="77777777"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 xml:space="preserve">When my grandmother moved into assisted living, she had to sort through a lifetime of possessions and make difficult choices. She chose to give the George William box to me, the person who knew and cared about his stories. As Belk, et al (1989) described the range of ways possessions and experiences take on a sacred role, they included in their list: bequests, inheritance, and heirlooms that aim to keep family ties unbroken. A reconstituted narrative (Dennis 2012) is key to maintaining those ties. Bochner and Ellis (2006), writing about the connection between story and grief use an example from Ellis’s experience to illustrate this point. “I wanted readers to think in a deeper and more nuanced way about positive and negative ways to maintain connections to family members who have died and about how the experiences of grief changes over survivors’ lives” (p. 194). I often feel the same impulse to make that connection. </w:t>
      </w:r>
    </w:p>
    <w:p w14:paraId="0000000F" w14:textId="0BEFC338"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 xml:space="preserve">Over the years, I have used the George William box in my classes and storytelling workshops. It is a powerful example of the way family narratives reconstitute those who are no </w:t>
      </w:r>
      <w:r w:rsidRPr="00DB7498">
        <w:rPr>
          <w:rFonts w:ascii="Times New Roman" w:eastAsia="Times New Roman" w:hAnsi="Times New Roman" w:cs="Times New Roman"/>
          <w:sz w:val="24"/>
          <w:szCs w:val="24"/>
        </w:rPr>
        <w:lastRenderedPageBreak/>
        <w:t xml:space="preserve">longer living and connect us to the past. As I carefully removed items to show them to my students, I continued to explore the contents more thoroughly. George William spent his last days at Methodist Hospital in Indianapolis. My grandmother never shared much about those days, although I imagine them to have been horrific. In the George William box she had saved many unusual items. One was a six-foot folding wooden measuring stick. In his final days, when all he could do was lay in the bed, my grandmother told me he would unfold the measuring stick until it touched the ceiling. One item I eventually discovered was a short letter sent to George William at the hospital. It was written by my mother, who was 6 years old at the time. When I showed it to her, my mother had no memory of writing that letter. When I read it the first time something occurred to me that I had never really thought much about before. My grandmother was not the only one who lost a loved one in 1937. And I was not the only one who “owned” the contents of that box. Certainly, my grandmother intentionally gave the box to me. I was the one who knew the stories. The thick leaded lines of my mother’s cursive handwriting asked how George William was feeling and filled him in on her daily activities. I was struck by the impact his death must have had on her. As children living on a remote midwestern farm and being only two years apart in age, they must have been very close. I imagine he was the yin to her yang, the person she knew best in the world. My grandmother never talked about that part of the story. Perhaps in her numbness, she was oblivious to her young daughter’s loss, or perhaps she erased the painful memories </w:t>
      </w:r>
      <w:proofErr w:type="gramStart"/>
      <w:r w:rsidRPr="00DB7498">
        <w:rPr>
          <w:rFonts w:ascii="Times New Roman" w:eastAsia="Times New Roman" w:hAnsi="Times New Roman" w:cs="Times New Roman"/>
          <w:sz w:val="24"/>
          <w:szCs w:val="24"/>
        </w:rPr>
        <w:t>as a way to</w:t>
      </w:r>
      <w:proofErr w:type="gramEnd"/>
      <w:r w:rsidRPr="00DB7498">
        <w:rPr>
          <w:rFonts w:ascii="Times New Roman" w:eastAsia="Times New Roman" w:hAnsi="Times New Roman" w:cs="Times New Roman"/>
          <w:sz w:val="24"/>
          <w:szCs w:val="24"/>
        </w:rPr>
        <w:t xml:space="preserve"> manage her own grief.</w:t>
      </w:r>
    </w:p>
    <w:p w14:paraId="00000010" w14:textId="11FFE31D"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 xml:space="preserve">About ten years after I inherited George William’s box, and several years after my grandmother’s death, I created a shadow box as a birthday gift for my mom. She was the one person on this earth who had known and loved him and these were the things that knew him. The shadow box was filled with many of the items from the George William box. It had his report </w:t>
      </w:r>
      <w:r w:rsidRPr="00DB7498">
        <w:rPr>
          <w:rFonts w:ascii="Times New Roman" w:eastAsia="Times New Roman" w:hAnsi="Times New Roman" w:cs="Times New Roman"/>
          <w:sz w:val="24"/>
          <w:szCs w:val="24"/>
        </w:rPr>
        <w:lastRenderedPageBreak/>
        <w:t>cards, his wallet and homemade cardboard coins, his pocket watch, his Tom Nix knife, the folding measuring stick, the lock of his hair, his picture and that of a young version of my mom, and a photocopy of his obituary. Not everything fit in the shadow box, so I still have plenty of things to show my students. But for many years now, the “story of George William” has been displayed in the hallway of my parents’ home. His story is told through the things that knew him. He and my grandmother, and now my mom, are reconstituted each time someone studies the contents of this shadow box and asks about the items inside.</w:t>
      </w:r>
    </w:p>
    <w:p w14:paraId="00000011" w14:textId="294302FB"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 xml:space="preserve">I write this chapter eight years after my mom’s death. I am still holding on to many of her possessions—the things that knew her. I have not boxed them up in the same way my grandmother did. At least not yet. I keep them as reminders. Some items have become a little less sacred over the years. What I know to be true is that there is still so much more work to come. My father, at the age of 97, still lives in my parents’ home. It is both my childhood home and also his childhood home. It still holds much of my mother’s possession, including her collections of angels, antiques, Longaberger baskets, cobalt blue glassware, and an abundance of Polk’s Dairy memorabilia that reminded her of childhood rides in her father’s milk truck. In the front closet, there are many family heirlooms. My mother and I began gathering things and placing them in a box literally labeled “the fight over it box.” These are the items my mom wanted her children to have someday. She jokingly said she would leave the decisions for us to “fight over.” The box was not nearly large enough to hold everything, so other items are nestled around it high on the closet shelves. I am fairly certain that there will be more tears than fights as we sort through these sacred possessions. But, it will all have to be sorted sooner rather than later. I keep joking that I want to keep it all. But, that is neither practical or helpful. I do know of one item I look forward to “owning” once again--the shadow box. Guillard (2017) says “when emptying the </w:t>
      </w:r>
      <w:r w:rsidRPr="00DB7498">
        <w:rPr>
          <w:rFonts w:ascii="Times New Roman" w:eastAsia="Times New Roman" w:hAnsi="Times New Roman" w:cs="Times New Roman"/>
          <w:sz w:val="24"/>
          <w:szCs w:val="24"/>
        </w:rPr>
        <w:lastRenderedPageBreak/>
        <w:t>house of a relative, the bereaved ﬁnd themselves faced with gifts they gave” (p. 489). There will be many gifts, no doubt, but none quite as special as George William’s shadow box. One day I will hang it on my wall. Perhaps I will pass it on to my daughter and she will hang it on hers, as well. A new group of people will hear the story of George William and see the things that once knew him.</w:t>
      </w:r>
    </w:p>
    <w:p w14:paraId="00000012" w14:textId="0AD61F6B"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After studying grief and its ties to the physical act of disposition, I fully agree with Roster (2001) that a more accurate view of the process would need to include the psychological layers of dispossession too. I more fully understand the power of intergenerational storytelling and the important role of personal possessions in the interconnections of our lives. In my own life, I have incorporated this into my grief work and the highly personal and sacred renegotiations of relational roles. I understand more deeply that sometimes holding on to artifacts and memories can be just as important as letting them go.</w:t>
      </w:r>
    </w:p>
    <w:p w14:paraId="71094447" w14:textId="77777777" w:rsidR="00DB7498" w:rsidRPr="00DB7498" w:rsidRDefault="00DB7498" w:rsidP="00DB7498">
      <w:pPr>
        <w:spacing w:after="0" w:line="480" w:lineRule="auto"/>
        <w:rPr>
          <w:rFonts w:ascii="Times New Roman" w:eastAsia="Times New Roman" w:hAnsi="Times New Roman" w:cs="Times New Roman"/>
          <w:sz w:val="24"/>
          <w:szCs w:val="24"/>
        </w:rPr>
      </w:pPr>
    </w:p>
    <w:p w14:paraId="00000013" w14:textId="0B8D4112" w:rsidR="00824A5E" w:rsidRPr="00DB7498" w:rsidRDefault="00C47074">
      <w:pPr>
        <w:spacing w:after="0" w:line="480" w:lineRule="auto"/>
        <w:ind w:firstLine="720"/>
        <w:jc w:val="center"/>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References</w:t>
      </w:r>
    </w:p>
    <w:p w14:paraId="45060AF5" w14:textId="77777777" w:rsidR="00DB7498" w:rsidRPr="00DB7498" w:rsidRDefault="00DB7498" w:rsidP="00DB7498">
      <w:pPr>
        <w:spacing w:after="0" w:line="480" w:lineRule="auto"/>
        <w:rPr>
          <w:rFonts w:ascii="Times New Roman" w:eastAsia="Times New Roman" w:hAnsi="Times New Roman" w:cs="Times New Roman"/>
          <w:sz w:val="24"/>
          <w:szCs w:val="24"/>
        </w:rPr>
      </w:pPr>
    </w:p>
    <w:p w14:paraId="00000014" w14:textId="77777777" w:rsidR="00824A5E" w:rsidRPr="00DB7498" w:rsidRDefault="00C47074">
      <w:pPr>
        <w:spacing w:after="0" w:line="480" w:lineRule="auto"/>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 xml:space="preserve">Belk, R. W. (1988). Possessions and the extended self. </w:t>
      </w:r>
      <w:r w:rsidRPr="00DB7498">
        <w:rPr>
          <w:rFonts w:ascii="Times New Roman" w:eastAsia="Times New Roman" w:hAnsi="Times New Roman" w:cs="Times New Roman"/>
          <w:i/>
          <w:sz w:val="24"/>
          <w:szCs w:val="24"/>
        </w:rPr>
        <w:t>Journal of Consumer Research, 15</w:t>
      </w:r>
      <w:r w:rsidRPr="00DB7498">
        <w:rPr>
          <w:rFonts w:ascii="Times New Roman" w:eastAsia="Times New Roman" w:hAnsi="Times New Roman" w:cs="Times New Roman"/>
          <w:sz w:val="24"/>
          <w:szCs w:val="24"/>
        </w:rPr>
        <w:t>, 139-</w:t>
      </w:r>
    </w:p>
    <w:p w14:paraId="00000015" w14:textId="77777777"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168.</w:t>
      </w:r>
    </w:p>
    <w:p w14:paraId="00000016" w14:textId="77777777" w:rsidR="00824A5E" w:rsidRPr="00DB7498" w:rsidRDefault="00C47074">
      <w:pPr>
        <w:spacing w:after="0" w:line="480" w:lineRule="auto"/>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Belk, R. W., Wallendorf, M.,  &amp; Sherry, Jr., J. F. (1989). The sacred and the profane in consumer</w:t>
      </w:r>
    </w:p>
    <w:p w14:paraId="00000017" w14:textId="74EAB76C" w:rsidR="00824A5E" w:rsidRPr="00DB7498" w:rsidRDefault="00C47074" w:rsidP="00DB7498">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 xml:space="preserve">behavior: Theodicy on the odyssey. </w:t>
      </w:r>
      <w:r w:rsidRPr="00DB7498">
        <w:rPr>
          <w:rFonts w:ascii="Times New Roman" w:eastAsia="Times New Roman" w:hAnsi="Times New Roman" w:cs="Times New Roman"/>
          <w:i/>
          <w:sz w:val="24"/>
          <w:szCs w:val="24"/>
        </w:rPr>
        <w:t>Journal of Consumer Research, 16,</w:t>
      </w:r>
      <w:r w:rsidRPr="00DB7498">
        <w:rPr>
          <w:rFonts w:ascii="Times New Roman" w:eastAsia="Times New Roman" w:hAnsi="Times New Roman" w:cs="Times New Roman"/>
          <w:sz w:val="24"/>
          <w:szCs w:val="24"/>
        </w:rPr>
        <w:t xml:space="preserve"> 1-38.</w:t>
      </w:r>
    </w:p>
    <w:p w14:paraId="00000018" w14:textId="77777777" w:rsidR="00824A5E" w:rsidRPr="00DB7498" w:rsidRDefault="00C47074">
      <w:pPr>
        <w:spacing w:after="0" w:line="480" w:lineRule="auto"/>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Dennis, M. R. (2012). Do grief self-help books convey contemporary perspectives on grieving?</w:t>
      </w:r>
    </w:p>
    <w:p w14:paraId="00000019" w14:textId="5469E373" w:rsidR="00824A5E" w:rsidRPr="00DB7498" w:rsidRDefault="00C47074" w:rsidP="00DB7498">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i/>
          <w:sz w:val="24"/>
          <w:szCs w:val="24"/>
        </w:rPr>
        <w:t>Death Studies</w:t>
      </w:r>
      <w:r w:rsidRPr="00DB7498">
        <w:rPr>
          <w:rFonts w:ascii="Times New Roman" w:eastAsia="Times New Roman" w:hAnsi="Times New Roman" w:cs="Times New Roman"/>
          <w:sz w:val="24"/>
          <w:szCs w:val="24"/>
        </w:rPr>
        <w:t xml:space="preserve">, </w:t>
      </w:r>
      <w:r w:rsidRPr="00DB7498">
        <w:rPr>
          <w:rFonts w:ascii="Times New Roman" w:eastAsia="Times New Roman" w:hAnsi="Times New Roman" w:cs="Times New Roman"/>
          <w:i/>
          <w:sz w:val="24"/>
          <w:szCs w:val="24"/>
        </w:rPr>
        <w:t>36</w:t>
      </w:r>
      <w:r w:rsidRPr="00DB7498">
        <w:rPr>
          <w:rFonts w:ascii="Times New Roman" w:eastAsia="Times New Roman" w:hAnsi="Times New Roman" w:cs="Times New Roman"/>
          <w:sz w:val="24"/>
          <w:szCs w:val="24"/>
        </w:rPr>
        <w:t>, 393–418.</w:t>
      </w:r>
    </w:p>
    <w:p w14:paraId="0000001A" w14:textId="77777777" w:rsidR="00824A5E" w:rsidRPr="00DB7498" w:rsidRDefault="00C47074">
      <w:pPr>
        <w:spacing w:after="0" w:line="480" w:lineRule="auto"/>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Gentry, J. W., Kennedy, P. F., Paul, C. &amp; Hill, R. P. (1995). Family transitions during grief:</w:t>
      </w:r>
    </w:p>
    <w:p w14:paraId="0000001B" w14:textId="4E819E72" w:rsidR="00824A5E" w:rsidRPr="00DB7498" w:rsidRDefault="00C47074" w:rsidP="00DB7498">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 xml:space="preserve">Discontinuities in household consumption patterns. </w:t>
      </w:r>
      <w:r w:rsidRPr="00DB7498">
        <w:rPr>
          <w:rFonts w:ascii="Times New Roman" w:eastAsia="Times New Roman" w:hAnsi="Times New Roman" w:cs="Times New Roman"/>
          <w:i/>
          <w:sz w:val="24"/>
          <w:szCs w:val="24"/>
        </w:rPr>
        <w:t>Journal of Business Research,</w:t>
      </w:r>
      <w:r w:rsidRPr="00DB7498">
        <w:rPr>
          <w:rFonts w:ascii="Times New Roman" w:eastAsia="Times New Roman" w:hAnsi="Times New Roman" w:cs="Times New Roman"/>
          <w:sz w:val="24"/>
          <w:szCs w:val="24"/>
        </w:rPr>
        <w:t xml:space="preserve"> </w:t>
      </w:r>
      <w:r w:rsidRPr="00DB7498">
        <w:rPr>
          <w:rFonts w:ascii="Times New Roman" w:eastAsia="Times New Roman" w:hAnsi="Times New Roman" w:cs="Times New Roman"/>
          <w:i/>
          <w:sz w:val="24"/>
          <w:szCs w:val="24"/>
        </w:rPr>
        <w:t>34</w:t>
      </w:r>
      <w:r w:rsidRPr="00DB7498">
        <w:rPr>
          <w:rFonts w:ascii="Times New Roman" w:eastAsia="Times New Roman" w:hAnsi="Times New Roman" w:cs="Times New Roman"/>
          <w:sz w:val="24"/>
          <w:szCs w:val="24"/>
        </w:rPr>
        <w:t>, 67-</w:t>
      </w:r>
    </w:p>
    <w:p w14:paraId="0000001C" w14:textId="77777777"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lastRenderedPageBreak/>
        <w:t>79.</w:t>
      </w:r>
    </w:p>
    <w:p w14:paraId="0000001D" w14:textId="77777777" w:rsidR="00824A5E" w:rsidRPr="00DB7498" w:rsidRDefault="00C47074">
      <w:pPr>
        <w:spacing w:after="0" w:line="480" w:lineRule="auto"/>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Guillard, V. (2017). Understanding the process of the disposition of a loved one’s possessions</w:t>
      </w:r>
    </w:p>
    <w:p w14:paraId="0000001E" w14:textId="606CB70E" w:rsidR="00824A5E" w:rsidRPr="00DB7498" w:rsidRDefault="00C47074" w:rsidP="00DB7498">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 xml:space="preserve">using a theoretical framework of grief. </w:t>
      </w:r>
      <w:r w:rsidRPr="00DB7498">
        <w:rPr>
          <w:rFonts w:ascii="Times New Roman" w:eastAsia="Times New Roman" w:hAnsi="Times New Roman" w:cs="Times New Roman"/>
          <w:i/>
          <w:sz w:val="24"/>
          <w:szCs w:val="24"/>
        </w:rPr>
        <w:t>Consumption Markets &amp; Culture, 20</w:t>
      </w:r>
      <w:r w:rsidRPr="00DB7498">
        <w:rPr>
          <w:rFonts w:ascii="Times New Roman" w:eastAsia="Times New Roman" w:hAnsi="Times New Roman" w:cs="Times New Roman"/>
          <w:sz w:val="24"/>
          <w:szCs w:val="24"/>
        </w:rPr>
        <w:t xml:space="preserve"> (5), 477–</w:t>
      </w:r>
    </w:p>
    <w:p w14:paraId="0000001F" w14:textId="6469D0FA" w:rsidR="00824A5E" w:rsidRPr="00DB7498" w:rsidRDefault="00C47074">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496.</w:t>
      </w:r>
    </w:p>
    <w:p w14:paraId="00000020" w14:textId="77777777" w:rsidR="00824A5E" w:rsidRPr="00DB7498" w:rsidRDefault="00C47074">
      <w:pPr>
        <w:spacing w:after="0" w:line="480" w:lineRule="auto"/>
        <w:rPr>
          <w:rFonts w:ascii="Times New Roman" w:eastAsia="Times New Roman" w:hAnsi="Times New Roman" w:cs="Times New Roman"/>
          <w:i/>
          <w:sz w:val="24"/>
          <w:szCs w:val="24"/>
        </w:rPr>
      </w:pPr>
      <w:r w:rsidRPr="00DB7498">
        <w:rPr>
          <w:rFonts w:ascii="Times New Roman" w:eastAsia="Times New Roman" w:hAnsi="Times New Roman" w:cs="Times New Roman"/>
          <w:sz w:val="24"/>
          <w:szCs w:val="24"/>
        </w:rPr>
        <w:t xml:space="preserve">Hendricks, G. (2009). </w:t>
      </w:r>
      <w:r w:rsidRPr="00DB7498">
        <w:rPr>
          <w:rFonts w:ascii="Times New Roman" w:eastAsia="Times New Roman" w:hAnsi="Times New Roman" w:cs="Times New Roman"/>
          <w:i/>
          <w:sz w:val="24"/>
          <w:szCs w:val="24"/>
        </w:rPr>
        <w:t>A year of living consciously: 365 daily inspirations for creating a life of</w:t>
      </w:r>
    </w:p>
    <w:p w14:paraId="00000021" w14:textId="1C24EBB9" w:rsidR="00824A5E" w:rsidRPr="00DB7498" w:rsidRDefault="00C47074" w:rsidP="00DB7498">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i/>
          <w:sz w:val="24"/>
          <w:szCs w:val="24"/>
        </w:rPr>
        <w:t>passion and purpose.</w:t>
      </w:r>
      <w:r w:rsidRPr="00DB7498">
        <w:rPr>
          <w:rFonts w:ascii="Times New Roman" w:eastAsia="Times New Roman" w:hAnsi="Times New Roman" w:cs="Times New Roman"/>
          <w:sz w:val="24"/>
          <w:szCs w:val="24"/>
        </w:rPr>
        <w:t xml:space="preserve"> HarperCollins.</w:t>
      </w:r>
    </w:p>
    <w:p w14:paraId="00000022" w14:textId="77777777" w:rsidR="00824A5E" w:rsidRPr="00DB7498" w:rsidRDefault="00C47074">
      <w:pPr>
        <w:spacing w:after="0" w:line="480" w:lineRule="auto"/>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Roster, C. A. (2001). Letting go: The process and meaning of dispossession in the lives of</w:t>
      </w:r>
    </w:p>
    <w:p w14:paraId="00000023" w14:textId="684F4328" w:rsidR="00824A5E" w:rsidRPr="00DB7498" w:rsidRDefault="00C47074" w:rsidP="00DB7498">
      <w:pPr>
        <w:spacing w:after="0" w:line="480" w:lineRule="auto"/>
        <w:ind w:firstLine="720"/>
        <w:rPr>
          <w:rFonts w:ascii="Times New Roman" w:eastAsia="Times New Roman" w:hAnsi="Times New Roman" w:cs="Times New Roman"/>
          <w:sz w:val="24"/>
          <w:szCs w:val="24"/>
        </w:rPr>
      </w:pPr>
      <w:r w:rsidRPr="00DB7498">
        <w:rPr>
          <w:rFonts w:ascii="Times New Roman" w:eastAsia="Times New Roman" w:hAnsi="Times New Roman" w:cs="Times New Roman"/>
          <w:sz w:val="24"/>
          <w:szCs w:val="24"/>
        </w:rPr>
        <w:t xml:space="preserve">consumers. </w:t>
      </w:r>
      <w:r w:rsidRPr="00DB7498">
        <w:rPr>
          <w:rFonts w:ascii="Times New Roman" w:eastAsia="Times New Roman" w:hAnsi="Times New Roman" w:cs="Times New Roman"/>
          <w:i/>
          <w:sz w:val="24"/>
          <w:szCs w:val="24"/>
        </w:rPr>
        <w:t>Advances in Consumer Research, 28,</w:t>
      </w:r>
      <w:r w:rsidRPr="00DB7498">
        <w:rPr>
          <w:rFonts w:ascii="Times New Roman" w:eastAsia="Times New Roman" w:hAnsi="Times New Roman" w:cs="Times New Roman"/>
          <w:sz w:val="24"/>
          <w:szCs w:val="24"/>
        </w:rPr>
        <w:t xml:space="preserve"> 415-430.</w:t>
      </w:r>
    </w:p>
    <w:sectPr w:rsidR="00824A5E" w:rsidRPr="00DB749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A5E"/>
    <w:rsid w:val="00601D11"/>
    <w:rsid w:val="00824A5E"/>
    <w:rsid w:val="00C47074"/>
    <w:rsid w:val="00DB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B21F4"/>
  <w15:docId w15:val="{17BF6199-3C01-4237-B87E-9937D42C7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A0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0623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23F9"/>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a-size-extra-large">
    <w:name w:val="a-size-extra-large"/>
    <w:basedOn w:val="DefaultParagraphFont"/>
    <w:rsid w:val="00B762E5"/>
  </w:style>
  <w:style w:type="paragraph" w:styleId="CommentSubject">
    <w:name w:val="annotation subject"/>
    <w:basedOn w:val="CommentText"/>
    <w:next w:val="CommentText"/>
    <w:link w:val="CommentSubjectChar"/>
    <w:uiPriority w:val="99"/>
    <w:semiHidden/>
    <w:unhideWhenUsed/>
    <w:rsid w:val="00B762E5"/>
    <w:rPr>
      <w:b/>
      <w:bCs/>
    </w:rPr>
  </w:style>
  <w:style w:type="character" w:customStyle="1" w:styleId="CommentSubjectChar">
    <w:name w:val="Comment Subject Char"/>
    <w:basedOn w:val="CommentTextChar"/>
    <w:link w:val="CommentSubject"/>
    <w:uiPriority w:val="99"/>
    <w:semiHidden/>
    <w:rsid w:val="00B762E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6keRvDP+sa59fGEhPpBC+WXyNw==">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3055</Words>
  <Characters>17417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Deja Ryland</cp:lastModifiedBy>
  <cp:revision>2</cp:revision>
  <dcterms:created xsi:type="dcterms:W3CDTF">2022-11-18T20:20:00Z</dcterms:created>
  <dcterms:modified xsi:type="dcterms:W3CDTF">2022-11-18T20:20:00Z</dcterms:modified>
</cp:coreProperties>
</file>